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SächsGleiG (Sachsen) — Übergangsvorschriften</w:t>
      </w:r>
    </w:p>
    <w:p>
      <w:r>
        <w:rPr>
          <w:color w:val="555555"/>
          <w:sz w:val="18"/>
        </w:rPr>
        <w:t xml:space="preserve">Sächsisches Gleichstellungsgesetz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Gleichstellungsbeauftragten in den Dienststellen und ihre Stellvertretungen sind innerhalb von 18 Monaten nach Inkrafttreten dieses Gesetzes zu bestellen. Bis zu diesem Zeitpunkt führen die nach § 18 des Sächsischen Frauenförderungsgesetzes vom 31. März 1994 (SächsGVBl. S. 684), das zuletzt durch Artikel 26 des Gesetzes vom 18. Dezember 2013 (SächsGVBl. S. 970) geändert worden ist, bestellten Frauenbeauftragten und ihre Stellvertreterinnen ihr Amt nach den Bestimmungen des Sächsischen Frauenförderungsgesetzes in der am 31. Dezember 2023 geltenden Fassung weiter. Ihre Amtszeit endet mit der Bestellung einer oder eines Gleichstellungsbeauftragten.</w:t>
      </w:r>
    </w:p>
    <w:p>
      <w:r>
        <w:t xml:space="preserve">(2) Beträgt beim Inkrafttreten dieses Gesetzes die Geltungsdauer eines Frauenförderplans einer Dienststelle nach dem Sächsischen Frauenförderungsgesetzes noch weniger als zwei Jahre, ist erstmals zwölf Monate nach Inkrafttreten dieses Gesetzes gemäß § 23 Absatz 1 ein Gleichstellungsplan vorzulegen. Der Geltungszeitraum dieses Gleichstellungsplans beginnt 18 Monate nach Inkrafttreten dieses Gesetzes. Bis zum Inkrafttreten des Gleichstellungsplans bleibt der Frauenförderplan in Kraft.</w:t>
      </w:r>
    </w:p>
    <w:p>
      <w:r>
        <w:t xml:space="preserve">(3) § 26 gilt nur für Neuwahlen, Berufungen und Entsendungen nach Inkrafttreten dieses Gesetzes. Bestehende Mandate bleiben unberührt.</w:t>
      </w:r>
    </w:p>
    <w:p>
      <w:r>
        <w:t xml:space="preserve">(4) Die jährlichen Statistiken der Dienststellen werden bis zum Inkrafttreten der Rechtsverordnung nach § 28 Absatz 2 auf der Grundlage der Sächsischen Frauenförderungsstatistikverordnung in der Fassung der Bekanntmachung vom 24. Juli 2006 (SächsGVBl. S. 457) erstellt.</w:t>
      </w:r>
    </w:p>
    <w:p>
      <w:r>
        <w:t xml:space="preserve">(5) Zwischen der erstmaligen Vorlage des Berichts nach § 29 Absatz 1 und der letztmaligen Vorlage des Frauenförderungsberichts gemäß § 17 des Sächsischen Frauenförderungsgesetzes dürfen nicht mehr als vier Jahre liegen.</w:t>
      </w:r>
    </w:p>
    <w:p>
      <w:r>
        <w:rPr>
          <w:color w:val="555555"/>
          <w:sz w:val="17"/>
        </w:rPr>
        <w:t xml:space="preserve">Zitiervorschlag: § 31 SächsGleiG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https://recht.nulegal.eu/gesetze/S%C3%A4chsGleiG/31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SächsGleiG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