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SächsGleiG (Sachsen) — Verarbeitung besonderer Kategorien personenbezogener Daten</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Verarbeitung personenbezogener Daten im Sinne von Artikel 4 Nummer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einschließlich der Verarbeitung besonderer Kategorien personenbezogener Daten im Sinne von Artikel 9 Absatz 1 der Verordnung (EU) 2016/679 ist gestattet, wenn und soweit dies zur Erfüllung der Aufgaben aus diesem Gesetz erforderlich ist. Die personenbezogenen Daten dürfen nur zu den Zwecken dieses Gesetzes verarbeitet werden.</w:t>
      </w:r>
    </w:p>
    <w:p>
      <w:r>
        <w:t xml:space="preserve">(2) Besondere Kategorien personenbezogener Daten im Sinne von Artikel 9 Absatz 1 der Verordnung (EU) 2016/679 sind getrennt von den übrigen Daten aufzubewahren und gegen unbefugte Einsichtnahme besonders zu sichern. Sie sind zu vernichten, sobald sie für den Zweck, zu dem sie erhoben wurden, nicht mehr benötigt werden. Die näheren Einzelheiten und weitere technisch-organisatorische Vorkehrungen zum Schutz der in Absatz 1 genannten Daten bestimmt die jeweilige Dienststellenleitung.</w:t>
      </w:r>
    </w:p>
    <w:p>
      <w:r>
        <w:rPr>
          <w:color w:val="555555"/>
          <w:sz w:val="17"/>
        </w:rPr>
        <w:t xml:space="preserve">Zitiervorschlag: § 30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SächsGleiG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