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SächsGleiG (Sachsen) — Berichtspflichten</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einem alle zwei Jahre dem Landtag vorzulegenden Bericht über die Verwirklichung der Gleichstellung von Frauen und Männern in der öffentlichen Verwaltung stellt die Staatsregierung die Umsetzung dieses Gesetzes dar und zeigt Wirksamkeit und Defizite der Förderinstrumente auf. Grundlage des Berichts sind insbesondere die Gleichstellungspläne nach § 23, die jährlichen Statistiken nach § 28 sowie weitere hierzu erforderliche Angaben, die die Dienststellen gegenüber der Staatsregierung zu machen haben.</w:t>
      </w:r>
    </w:p>
    <w:p>
      <w:r>
        <w:t xml:space="preserve">(2) Die Regelungen und Auswirkungen dieses Gesetzes sind vier Jahre nach dem Inkrafttreten von der Staatsregierung zu evaluieren.</w:t>
      </w:r>
    </w:p>
    <w:p>
      <w:r>
        <w:t xml:space="preserve">(3) Die Staatsregierung erstattet dem Landtag regelmäßig, mindestens einmal pro Legislaturperiode, Bericht über die Lage der Gleichstellung im Freistaat Sachsen, die Wirksamkeit unterschiedlicher Gleichstellungsinstrumente und damit zusammenhängende gesellschaftliche Problemfelder.</w:t>
      </w:r>
    </w:p>
    <w:p>
      <w:r>
        <w:rPr>
          <w:color w:val="555555"/>
          <w:sz w:val="17"/>
        </w:rPr>
        <w:t xml:space="preserve">Zitiervorschlag: § 29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