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SächsGleiG (Sachsen) — Jährliche Statistik</w:t>
      </w:r>
    </w:p>
    <w:p>
      <w:r>
        <w:rPr>
          <w:color w:val="555555"/>
          <w:sz w:val="18"/>
        </w:rPr>
        <w:t xml:space="preserve">Sächsisches Gleichstellungsgesetz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 Dienststelle, die einen Gleichstellungsplan aufstellt, erfasst jährlich und jeweils nach Geschlechtern aufgeteilt</w:t>
      </w:r>
    </w:p>
    <w:p>
      <w:r>
        <w:t xml:space="preserve">1. zum Stichtag 30. Juni die Personalstruktur in der Dienststelle sowie die Besetzung von Gremien der Dienststelle und Entsendungen in andere Gremien,</w:t>
      </w:r>
    </w:p>
    <w:p>
      <w:r>
        <w:t xml:space="preserve">2. die in der Zeit vom 1. Juli des Vorjahres bis zum 30. Juni erfolgten Beförderungen, Höhergruppierungen und Teilnahmen an Fort- und Weiterbildungsveranstaltungen, durchgeführte Stellenbesetzungsverfahren sowie die anonymisierten Ergebnisse dienstlicher Beurteilungen.</w:t>
      </w:r>
    </w:p>
    <w:p>
      <w:r>
        <w:t xml:space="preserve">(2) Das für Gleichstellung zuständige Staatsministerium erlässt nach Anhörung der oder des Sächsischen Datenschutzbeauftragten im Einvernehmen mit dem Staatsministerium des Innern durch Rechtsverordnung Bestimmungen über</w:t>
      </w:r>
    </w:p>
    <w:p>
      <w:r>
        <w:t xml:space="preserve">1. die Datenerhebung, insbesondere die Konkretisierung der Erhebungsmerkmale und die Form der Erhebung, unter Berücksichtigung der Personalstandstatistik nach dem Finanz- und Personalstatistikgesetz in der Fassung der Bekanntmachung vom 22. Februar 2006 (BGBl. I S. 438), das zuletzt durch Artikel 1 des Gesetzes vom 3. Juni 2021 (BGBl. I S. 1401) geändert worden ist, in der jeweils geltenden Fassung,</w:t>
      </w:r>
    </w:p>
    <w:p>
      <w:r>
        <w:t xml:space="preserve">2. die Datenübermittlung zwischen den mit der Durchführung der Statistik betrauten Personen und Stellen,</w:t>
      </w:r>
    </w:p>
    <w:p>
      <w:r>
        <w:t xml:space="preserve">3. die Datenspeicherung sowie</w:t>
      </w:r>
    </w:p>
    <w:p>
      <w:r>
        <w:t xml:space="preserve">4. die Datenauswertung.</w:t>
      </w:r>
    </w:p>
    <w:p>
      <w:r>
        <w:rPr>
          <w:color w:val="555555"/>
          <w:sz w:val="17"/>
        </w:rPr>
        <w:t xml:space="preserve">Zitiervorschlag: § 28 SächsGleiG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https://recht.nulegal.eu/gesetze/S%C3%A4chsGleiG/28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