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SächsGleiG (Sachsen) — Anwendungsbereich</w:t>
      </w:r>
    </w:p>
    <w:p>
      <w:r>
        <w:rPr>
          <w:color w:val="555555"/>
          <w:sz w:val="18"/>
        </w:rPr>
        <w:t xml:space="preserve">Sächsisches Gleichstellungsgesetz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Dieses Gesetz gilt für die Verwaltungen, Gerichte, Schulen, Hochschulen und Betriebe des Freistaates Sachsen, der kommunalen Träger der Selbstverwaltung und der sonstigen der alleinigen Aufsicht des Freistaates Sachsen unterstehenden juristischen Personen des öffentlichen Rechts. Hält der Freistaat Sachsen eine Beteiligung an privatrechtlichen Unternehmen, gilt § 27.</w:t>
      </w:r>
    </w:p>
    <w:p>
      <w:r>
        <w:rPr>
          <w:color w:val="555555"/>
          <w:sz w:val="17"/>
        </w:rPr>
        <w:t xml:space="preserve">Zitiervorschlag: § 2 SächsGleiG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https://recht.nulegal.eu/gesetze/S%C3%A4chsGleiG/2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