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SächsGleiG (Sachsen) — Individuelle Arbeitszeit- und Arbeitsortgestaltung, mobile Arbeit</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Dienststellenleitung hat in Zusammenarbeit mit der oder dem Gleichstellungsbeauftragten den in der Dienststelle bestehenden Bedarf für mobile Arbeitsbedingungen in allen Fachbereichen und Funktionsebenen mindestens alle zwei Jahre oder im Zuge des jeweiligen Haushaltsaufstellungsverfahrens zu ermitteln, auf die Schaffung entsprechender Ressourcen hinzuwirken und soll sie nach Maßgabe der zur Verfügung stehenden Haushaltsmittel auf Antrag unter Berücksichtigung dienstlicher Möglichkeiten insbesondere Bediensteten mit Familien- oder Pflegeaufgaben zur Verfügung stellen. Mobil arbeitenden Bediensteten sind die gleichen beruflichen Aufstiegs-, Fort- und Weiterbildungsmöglichkeiten wie den durchgängig in Präsenz tätigen Bediensteten einzuräumen.</w:t>
      </w:r>
    </w:p>
    <w:p>
      <w:r>
        <w:t xml:space="preserve">(2) Bedienstete haben Anspruch auf flexible Arbeitszeitgestaltung zur Wahrnehmung von Familien- oder Pflegeaufgaben im Rahmen der dienstlichen Möglichkeiten, der spezialgesetzlichen Regelungen und der hierauf beruhenden Vereinbarungen.</w:t>
      </w:r>
    </w:p>
    <w:p>
      <w:r>
        <w:t xml:space="preserve">(3) Beabsichtigt die Dienststelle, einen Antrag auf flexible Arbeitszeitgestaltung oder mobile Arbeit zur Wahrnehmung von Familien- oder Pflegeaufgaben abzulehnen, ist die oder der Gleichstellungsbeauftragte zu beteiligen. Die Ablehnung des Antrags ist schriftlich zu begründen.</w:t>
      </w:r>
    </w:p>
    <w:p>
      <w:r>
        <w:t xml:space="preserve">(4) Die Dienststellen sind berechtigt, unter den Voraussetzungen des § 17 der Sächsischen Arbeitszeitverordnung in der Fassung der Bekanntmachung vom 28. Januar 2008 (SächsGVBl. S. 198), die zuletzt durch Artikel 2 der Verordnung vom 26. April 2022 (SächsGVBl. S. 282) geändert worden ist, in der jeweils geltenden Fassung, und im Rahmen der jeweils geltenden tariflichen Vorschriften Arbeitszeit- und -ortmodelle für alle Bediensteten zu erproben.</w:t>
      </w:r>
    </w:p>
    <w:p>
      <w:r>
        <w:rPr>
          <w:color w:val="555555"/>
          <w:sz w:val="17"/>
        </w:rPr>
        <w:t xml:space="preserve">Zitiervorschlag: § 10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SächsGleiG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