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SächsGleiG (Sachsen) — Ziele des Gesetzes</w:t>
      </w:r>
    </w:p>
    <w:p>
      <w:r>
        <w:rPr>
          <w:color w:val="555555"/>
          <w:sz w:val="18"/>
        </w:rPr>
        <w:t xml:space="preserve">Sächsisches Gleichstellungsgesetz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Ziel dieses Gesetzes ist</w:t>
      </w:r>
    </w:p>
    <w:p>
      <w:r>
        <w:t xml:space="preserve">1. die Verwirklichung der Gleichstellung von Frauen und Männern,</w:t>
      </w:r>
    </w:p>
    <w:p>
      <w:r>
        <w:t xml:space="preserve">2. die Förderung der Vereinbarkeit von Familie und Pflege mit der Berufstätigkeit sowie</w:t>
      </w:r>
    </w:p>
    <w:p>
      <w:r>
        <w:t xml:space="preserve">3. die Herstellung von Chancengerechtigkeit für alle Bediensteten im öffentlichen Dienst im Freistaat Sachsen.</w:t>
      </w:r>
    </w:p>
    <w:p>
      <w:r>
        <w:rPr>
          <w:color w:val="555555"/>
          <w:sz w:val="17"/>
        </w:rPr>
        <w:t xml:space="preserve">Zitiervorschlag: § 1 SächsGleiG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https://recht.nulegal.eu/gesetze/S%C3%A4chsGleiG/1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