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SächsGlüStVAG (Sachsen) — Begriffsbestimmungen</w:t>
      </w:r>
    </w:p>
    <w:p>
      <w:r>
        <w:rPr>
          <w:color w:val="555555"/>
          <w:sz w:val="18"/>
        </w:rPr>
        <w:t xml:space="preserve">Sächsisches Ausführungsgesetz zum Glücksspielstaatsvertrag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Sofortlotterien sind Lotterien oder Ausspielungen mit einem Gewinnplan, bei denen Lose in Serien ausgegeben werden und durch Ziehung vor Verkauf für jedes Los feststeht, ob es gewonnen hat.</w:t>
      </w:r>
    </w:p>
    <w:p>
      <w:r>
        <w:t xml:space="preserve">(2) Nummernlotterien sind Lotterien, bei denen nach Maßgabe eines Gewinnplanes zu ziehende Endziffern gewinnen.</w:t>
      </w:r>
    </w:p>
    <w:p>
      <w:r>
        <w:t xml:space="preserve">(3) Zusatzlotterien sind Lotterien, die zu Lotterien oder Ausspielungen mit gemeinsamer Gewinnausschüttung veranstaltet werden.</w:t>
      </w:r>
    </w:p>
    <w:p>
      <w:r>
        <w:t xml:space="preserve">(4) Teilnahmebedingungen sind allgemeine Geschäftsbedingungen zur Durchführung der Veranstaltung von öffentlichen Glücksspielen, die vom Veranstalter erlassen werden.</w:t>
      </w:r>
    </w:p>
    <w:p>
      <w:r>
        <w:t xml:space="preserve">(5) Prämienziehungen sind Auslosungen von Zusatzgewinnen innerhalb einer Lotterie oder Ausspielung.</w:t>
      </w:r>
    </w:p>
    <w:p>
      <w:r>
        <w:rPr>
          <w:color w:val="555555"/>
          <w:sz w:val="17"/>
        </w:rPr>
        <w:t xml:space="preserve">Zitiervorschlag: § 2 SächsGlüStVAG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https://recht.nulegal.eu/gesetze/S%C3%A4chsGl%C3%BCStVAG/2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SächsGlüStVAG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