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SächsGlüStVAG (Sachsen) — Geltungsbereich</w:t>
      </w:r>
    </w:p>
    <w:p>
      <w:r>
        <w:rPr>
          <w:color w:val="555555"/>
          <w:sz w:val="18"/>
        </w:rPr>
        <w:t xml:space="preserve">Sächsisches Ausführungsgesetz zum Glücksspielstaatsvertrag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die Veranstaltung, Durchführung und Vermittlung von Lotterien und Ausspielungen sowie die Vermittlung von Sportwetten in Wettvermittlungsstellen im Freistaat Sachsen.</w:t>
      </w:r>
    </w:p>
    <w:p>
      <w:r>
        <w:t xml:space="preserve">(2) Für die Errichtung und den Betrieb von Spielhallen, soweit sie Geld- oder Warenspielgeräte mit Gewinnmöglichkeit bereithalten, gelten die §§ 18a, 19, 19b und 20 Absatz 1 Nummer 1, 2 und 5 bis 7 sowie Absatz 2 bis 4.</w:t>
      </w:r>
    </w:p>
    <w:p>
      <w:r>
        <w:t xml:space="preserve">(3) Für Gaststätten, soweit sie Geld- oder Warenspielgeräte mit Gewinnmöglichkeit bereithalten, gelten § 9 Absatz 1, 2 und 2a des Glücksspielstaatsvertrages 2021 vom 29. Oktober 2020 (SächsGVBl. 2021 S. 367), in der jeweils geltenden Fassung, sowie § 20 Absatz 1 Nummer 7, Absatz 2 Satz 2 und Absatz 3 bis 4.</w:t>
      </w:r>
    </w:p>
    <w:p>
      <w:r>
        <w:rPr>
          <w:color w:val="555555"/>
          <w:sz w:val="17"/>
        </w:rPr>
        <w:t xml:space="preserve">Zitiervorschlag: § 1 SächsGlüStVAG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https://recht.nulegal.eu/gesetze/S%C3%A4chsGl%C3%BCStVAG/1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SächsGlüStVAG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