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 SächsGfbWBVO (Sachsen) — Aufnahmevoraussetzungen</w:t>
      </w:r>
    </w:p>
    <w:p>
      <w:r>
        <w:rPr>
          <w:color w:val="555555"/>
          <w:sz w:val="18"/>
        </w:rPr>
        <w:t xml:space="preserve">Weiterbildungsverordnung Gesundheitsfachberufe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Voraussetzung für die Aufnahme der Weiterbildung ist</w:t>
      </w:r>
    </w:p>
    <w:p>
      <w:r>
        <w:t xml:space="preserve">1. ein Berufsabschluss</w:t>
      </w:r>
    </w:p>
    <w:p>
      <w:r>
        <w:t xml:space="preserve">a)</w:t>
      </w:r>
    </w:p>
    <w:p>
      <w:r>
        <w:t xml:space="preserve">in einem Gesundheitsfachberuf nach § 2 Abs. 2 Nr. 5, 6 oder 16 SächsGfbWBG oder</w:t>
      </w:r>
    </w:p>
    <w:p>
      <w:r>
        <w:t xml:space="preserve">b)</w:t>
      </w:r>
    </w:p>
    <w:p>
      <w:r>
        <w:t xml:space="preserve">nach § 2 Abs. 2 Nr. 1 SächsGfbWBG mit 3-jähriger Ausbildung in Vollzeitform oder</w:t>
      </w:r>
    </w:p>
    <w:p>
      <w:r>
        <w:t xml:space="preserve">c)</w:t>
      </w:r>
    </w:p>
    <w:p>
      <w:r>
        <w:t xml:space="preserve">nach § 2 Abs. 2 Nr. 1 SächsGfbWBG mit 2-jähriger Ausbildung in Vollzeitform, wenn die Teilnahme an einem Lehrgang in der Behandlungspflege nachgewiesen wird, und</w:t>
      </w:r>
    </w:p>
    <w:p>
      <w:r>
        <w:t xml:space="preserve">2. eine Tätigkeit in den jeweiligen Arbeitsfeldern der angestrebten Weiterbildungsrichtung von mindestens 6 Monaten innerhalb der letzten 2 Jahre.</w:t>
      </w:r>
    </w:p>
    <w:p>
      <w:r>
        <w:rPr>
          <w:color w:val="555555"/>
          <w:sz w:val="17"/>
        </w:rPr>
        <w:t xml:space="preserve">Zitiervorschlag: § 47 SächsGfbWBVO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https://recht.nulegal.eu/gesetze/S%C3%A4chsGfbWBVO/47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 SächsGfbWBVO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