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 SächsGfbWBVO (Sachsen) — Aufnahmevoraussetzungen</w:t>
      </w:r>
    </w:p>
    <w:p>
      <w:r>
        <w:rPr>
          <w:color w:val="555555"/>
          <w:sz w:val="18"/>
        </w:rPr>
        <w:t xml:space="preserve">Weiterbildungsverordnung Gesundheitsfachberufe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Voraussetzung für die Aufnahme der Weiterbildung ist</w:t>
      </w:r>
    </w:p>
    <w:p>
      <w:r>
        <w:t xml:space="preserve">1. ein Berufsabschluss in einem Gesundheitsfachberuf nach § 2 Abs. 2 Nr. 1, 5, 6 oder 16 SächsGfbWBG und</w:t>
      </w:r>
    </w:p>
    <w:p>
      <w:r>
        <w:t xml:space="preserve">2. eine Tätigkeit in den jeweiligen Arbeitsfeldern der angestrebten Weiterbildungsrichtung von mindestens 6 Monaten innerhalb der letzten 2 Jahre.</w:t>
      </w:r>
    </w:p>
    <w:p>
      <w:r>
        <w:rPr>
          <w:color w:val="555555"/>
          <w:sz w:val="17"/>
        </w:rPr>
        <w:t xml:space="preserve">Zitiervorschlag: § 39 SächsGfbWBVO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https://recht.nulegal.eu/gesetze/S%C3%A4chsGfbWBVO/39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