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SächsGfbWBVO (Sachsen) — Prüfungsunterlagen</w:t>
      </w:r>
    </w:p>
    <w:p>
      <w:r>
        <w:rPr>
          <w:color w:val="555555"/>
          <w:sz w:val="18"/>
        </w:rPr>
        <w:t xml:space="preserve">Weiterbildungsverordnung Gesundheitsfachberufe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Antrag ist dem Prüfling nach Abschluss der Prüfungen Einsicht in seine Prüfungsunterlagen zu gewähren. Schriftliche Arbeiten, Anträge auf Zulassung zur Prüfung und Niederschriften sind 4 Jahre nach Ablauf des Kalenderjahres, in dem die Prüfung abgelegt worden ist, aufzubewahren.</w:t>
      </w:r>
    </w:p>
    <w:p>
      <w:r>
        <w:rPr>
          <w:color w:val="555555"/>
          <w:sz w:val="17"/>
        </w:rPr>
        <w:t xml:space="preserve">Zitiervorschlag: § 21 SächsGfbWBVO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https://recht.nulegal.eu/gesetze/S%C3%A4chsGfbWBVO/21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