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SächsGfbVO (Sachsen)</w:t>
      </w:r>
    </w:p>
    <w:p>
      <w:r>
        <w:rPr>
          <w:color w:val="555555"/>
          <w:sz w:val="18"/>
        </w:rPr>
        <w:t xml:space="preserve">Sächsische Gesundheitsfachberufe-Verordnung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</w:t>
      </w:r>
    </w:p>
    <w:p>
      <w:r>
        <w:t xml:space="preserve">– des § 1 Absatz 2 Satz 1 in Verbindung mit Satz 2 des Heilberufezuständigkeitsgesetzes vom 9. Februar 2004 (SächsGVBl. S. 41), der zuletzt durch Artikel 1 Nummer 1 des Gesetzes vom 23. März 2022 (SächsGVBl. S. 251) neu gefasst worden ist, im Einvernehmen mit dem Staatsministerium des Innern,</w:t>
      </w:r>
    </w:p>
    <w:p>
      <w:r>
        <w:t xml:space="preserve">– des § 1 Absatz 2 Satz 1 in Verbindung mit Satz 3 des Heilberufezuständigkeitsgesetzes vom 9. Februar 2004 (SächsGVBl. S. 41), der zuletzt durch Artikel 1 Nummer 1 des Gesetzes vom 23. März 2022 (SächsGVBl. S. 251) neu gefasst worden ist, im Einvernehmen mit dem Staatsministerium für Kultus,</w:t>
      </w:r>
    </w:p>
    <w:p>
      <w:r>
        <w:t xml:space="preserve">– des § 1 Absatz 4 sowie Absatz 6 Nummer 9 und 10 des Heilberufezuständigkeitsgesetzes vom 9. Februar 2004 (SächsGVBl. S. 41), der zuletzt durch Artikel 1 Nummer 1 des Gesetzes vom 23. März 2022 (SächsGVBl. S. 251) neu gefasst worden ist,</w:t>
      </w:r>
    </w:p>
    <w:p>
      <w:r>
        <w:t xml:space="preserve">verordnet das Staatsministerium für Soziales und Gesellschaftlichen Zusammenhalt:</w:t>
      </w:r>
    </w:p>
    <w:p>
      <w:r>
        <w:rPr>
          <w:color w:val="555555"/>
          <w:sz w:val="17"/>
        </w:rPr>
        <w:t xml:space="preserve">Zitiervorschlag: Eingangsformel SächsGfbVO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https://recht.nulegal.eu/gesetze/S%C3%A4chsGfbVO/eingangsformel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