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 SächsGfbVO (Sachsen) — Erforderliche Sprachkenntnisse</w:t>
      </w:r>
    </w:p>
    <w:p>
      <w:r>
        <w:rPr>
          <w:color w:val="555555"/>
          <w:sz w:val="18"/>
        </w:rPr>
        <w:t xml:space="preserve">Sächsische Gesundheitsfachberufe-Verordnung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Überprüfung der für die Berufsausübung erforderlichen Sprachkenntnisse gemäß Artikel 53 der Richtlinie 2005/36/EG darf erst nach Ausstellung des Europäischen Berufsausweises nach der Richtlinie 2005/36/EG oder nach der Anerkennung einer Berufsqualifikation vorgenommen werden.</w:t>
      </w:r>
    </w:p>
    <w:p>
      <w:r>
        <w:t xml:space="preserve">(2) Die Überprüfung muss in angemessenem Verhältnis zur auszuübenden Tätigkeit stehen. Gegen die Überprüfung der Sprachkenntnisse können Rechtsbehelfe nach den allgemeinen Vorschriften eingelegt werden.</w:t>
      </w:r>
    </w:p>
    <w:p>
      <w:r>
        <w:rPr>
          <w:color w:val="555555"/>
          <w:sz w:val="17"/>
        </w:rPr>
        <w:t xml:space="preserve">Zitiervorschlag: § 4 SächsGfbVO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https://recht.nulegal.eu/gesetze/S%C3%A4chsGfbVO/4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