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SächsGewODVO (Sachsen)</w:t>
      </w:r>
    </w:p>
    <w:p>
      <w:r>
        <w:rPr>
          <w:color w:val="555555"/>
          <w:sz w:val="18"/>
        </w:rPr>
        <w:t xml:space="preserve">Verordnung der Sächsischen Staatsregierung zur Durchführung der Gewerbeordnung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36 Abs. 1 und 2, § 38 Satz 2, § 60 a Abs. 4, § 67 Abs. 2 Satz 2, § 142 Abs. 2 Satz 2 und § 155 Abs. 2 der Gewerbeordnung in der Fassung der Bekanntmachung vom 1. Januar 1987 (BGBl. I S. 425), zuletzt geändert durch Artikel 18 des Gesetzes vom 28. Juni 1990 (BGBl. I S. 1221) wird verordnet:</w:t>
      </w:r>
    </w:p>
    <w:p>
      <w:r>
        <w:rPr>
          <w:color w:val="555555"/>
          <w:sz w:val="17"/>
        </w:rPr>
        <w:t xml:space="preserve">Zitiervorschlag: Eingangsformel SächsGewODVO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https://recht.nulegal.eu/gesetze/S%C3%A4chsGewODVO/eingangsformel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SächsGewODVO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