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Eingangsformel SächsGeolZuVO (Sachsen)</w:t>
      </w:r>
    </w:p>
    <w:p>
      <w:r>
        <w:rPr>
          <w:color w:val="555555"/>
          <w:sz w:val="18"/>
        </w:rPr>
        <w:t xml:space="preserve">Geologiedaten-Zuständigkeitsverordnung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Auf Grund des § 16 Absatz 1 Satz 2 Nummer 1 und 2 des Sächsischen Verwaltungsorganisationsgesetzes vom 25. November 2003 (SächsGVBl. S. 899) verordnen das Staatsministerium für Energie, Klimaschutz, Umwelt und Landwirtschaft und das Staatsministerium für Wirtschaft, Arbeit und Verkehr mit Zustimmung der Staatsregierung:</w:t>
      </w:r>
    </w:p>
    <w:p>
      <w:r>
        <w:rPr>
          <w:color w:val="555555"/>
          <w:sz w:val="17"/>
        </w:rPr>
        <w:t xml:space="preserve">Zitiervorschlag: Eingangsformel SächsGeolZuVO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https://recht.nulegal.eu/gesetze/S%C3%A4chsGeolZuVO/eingangsformel</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Eingangsformel SächsGeolZuVO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