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SächsGemO (Sachsen) — Beschlussfassung</w:t>
      </w:r>
    </w:p>
    <w:p>
      <w:r>
        <w:rPr>
          <w:color w:val="555555"/>
          <w:sz w:val="18"/>
        </w:rPr>
        <w:t xml:space="preserve">Sächsische Gemeindeordnung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Gemeinderat kann nur in einer ordnungsgemäß einberufenen und geleiteten Sitzung beraten und beschließen. Eine Verletzung von Form oder Frist der Ladung eines Gemeinderatsmitglieds gilt als geheilt, wenn das Mitglied zur Sitzung erscheint und den Mangel nicht spätestens bei Eintritt in die Tagesordnung der Sitzung geltend macht. Die Mitglieder des Gemeinderats sind hierauf zu Beginn der Sitzung hinzuweisen. Über Gegenstände einfacher Art und geringer Bedeutung kann im schriftlichen oder elektronischen Verfahren beschlossen werden; ein hierbei gestellter Antrag ist angenommen, wenn kein Mitglied widerspricht.</w:t>
      </w:r>
    </w:p>
    <w:p>
      <w:r>
        <w:t xml:space="preserve">(2) Der Gemeinderat ist beschlussfähig, wenn mindestens die Hälfte aller Mitglieder anwesend und stimmberechtigt ist. Bei Befangenheit von mehr als der Hälfte aller Mitglieder ist der Gemeinderat beschlussfähig, wenn mindestens ein Viertel aller Mitglieder anwesend und stimmberechtigt ist.</w:t>
      </w:r>
    </w:p>
    <w:p>
      <w:r>
        <w:t xml:space="preserve">(3) Ist der Gemeinderat nicht beschlussfähig, muss eine zweite Sitzung stattfinden, in der er beschlussfähig ist, wenn mindestens drei Mitglieder anwesend und stimmberechtigt sind; bei der Einberufung der zweiten Sitzung ist hierauf hinzuweisen. Die zweite Sitzung entfällt, wenn weniger als drei Mitglieder stimmberechtigt sind.</w:t>
      </w:r>
    </w:p>
    <w:p>
      <w:r>
        <w:t xml:space="preserve">(4) Ist der Gemeinderat auch in der zweiten Sitzung wegen Befangenheit von Mitgliedern nicht beschlussfähig, entscheidet der Bürgermeister an seiner Stelle nach Anhörung der nicht befangenen Gemeinderäte. Sind auch der Bürgermeister und sein Stellvertreter befangen, gilt § 117 entsprechend, sofern nicht der Gemeinderat ein stimmberechtigtes Mitglied für die Entscheidung zum Stellvertreter des Bürgermeisters bestellt.</w:t>
      </w:r>
    </w:p>
    <w:p>
      <w:r>
        <w:t xml:space="preserve">(5) Der Gemeinderat beschließt durch Abstimmungen und, soweit gesetzlich oder in der Geschäftsordnung vorgeschrieben, durch Wahlen. Der Bürgermeister ist stimmberechtigt.</w:t>
      </w:r>
    </w:p>
    <w:p>
      <w:r>
        <w:t xml:space="preserve">(6) Der Gemeinderat stimmt in der Regel offen ab; er kann aus wichtigem Grund geheime Abstimmung beschließen. Die Beschlüsse werden mit Stimmenmehrheit gefasst. Bei Stimmengleichheit ist der Antrag abgelehnt. Stimmenthaltungen werden für die Ermittlung der Stimmenmehrheit nicht berücksichtigt.</w:t>
      </w:r>
    </w:p>
    <w:p>
      <w:r>
        <w:t xml:space="preserve">(7) Wahlen werden geheim mit Stimmzetteln vorgenommen; es kann offen gewählt werden, wenn kein Mitglied widerspricht. Gewählt ist, wer die Mehrheit der Stimmen der anwesenden Stimmberechtigten erhalten hat. Wird eine solche Mehrheit bei der Wahl nicht erreicht, findet zwischen den beiden Bewerbern mit den meisten Stimmen Stichwahl statt, bei der die einfache Mehrheit der abgegebenen Stimmen entscheidet; Absatz 6 Satz 4 gilt entsprechend. Bei Stimmengleichheit entscheidet das Los. Steht nur ein Bewerber zur Wahl, findet im Falle des Satzes 3 ein zweiter Wahlgang statt, bei dem die einfache Mehrheit der abgegebenen Stimmen ausreicht.</w:t>
      </w:r>
    </w:p>
    <w:p>
      <w:r>
        <w:rPr>
          <w:color w:val="555555"/>
          <w:sz w:val="17"/>
        </w:rPr>
        <w:t xml:space="preserve">Zitiervorschlag: § 39 SächsGemO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https://recht.nulegal.eu/gesetze/S%C3%A4chsGemO/39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