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113 SächsGemO (Sachsen) — Informationsrecht</w:t>
      </w:r>
    </w:p>
    <w:p>
      <w:r>
        <w:rPr>
          <w:color w:val="555555"/>
          <w:sz w:val="18"/>
        </w:rPr>
        <w:t xml:space="preserve">Sächsische Gemeindeordnung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es zur Erfüllung ihrer Aufgaben erforderlich ist, können sich die in § 112 Absatz 1 genannten Rechtsaufsichtsbehörden über einzelne Angelegenheiten der Gemeinden in geeigneter Weise informieren.</w:t>
      </w:r>
    </w:p>
    <w:p>
      <w:r>
        <w:rPr>
          <w:color w:val="555555"/>
          <w:sz w:val="17"/>
        </w:rPr>
        <w:t xml:space="preserve">Zitiervorschlag: § 113 SächsGemO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https://recht.nulegal.eu/gesetze/S%C3%A4chsGemO/113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113 SächsGemO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