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SächsGastG (Sachsen) — Anwendung der Gewerbeordnung und Übergangsvorschriften</w:t>
      </w:r>
    </w:p>
    <w:p>
      <w:r>
        <w:rPr>
          <w:color w:val="555555"/>
          <w:sz w:val="18"/>
        </w:rPr>
        <w:t xml:space="preserve">Sächsisches Gaststättengesetz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Auf die den Vorschriften dieses Gesetzes unterliegenden Gewerbetreibenden finden die Gewerbeordnung einschließlich der auf der Grundlage der Gewerbeordnung erlassenen Rechtsverordnungen Anwendung, soweit in diesem Gesetz nichts Abweichendes bestimmt ist.</w:t>
      </w:r>
    </w:p>
    <w:p>
      <w:r>
        <w:t xml:space="preserve">(2) Eine vor Inkrafttreten dieses Gesetzes erteilte Erlaubnis oder Gestattung gilt im bisherigen Umfang als Anzeige im Sinne dieses Gesetzes fort. Auflagen und Anordnungen auf der Grundlage von § 5 des Gaststättengesetzes in der Fassung der Bekanntmachung vom 20. November 1998 (BGBl. I S. 3418), das zuletzt durch Artikel 10 des Gesetzes vom 7. September 2007 (BGBl. I S. 2246, 2257) geändert worden ist, gelten fort.</w:t>
      </w:r>
    </w:p>
    <w:p>
      <w:r>
        <w:rPr>
          <w:color w:val="555555"/>
          <w:sz w:val="17"/>
        </w:rPr>
        <w:t xml:space="preserve">Zitiervorschlag: § 13 SächsGastG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https://recht.nulegal.eu/gesetze/S%C3%A4chsGastG/13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