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SächsGarStellplVO (Sachsen) — Weitergehende Anforderungen</w:t>
      </w:r>
    </w:p>
    <w:p>
      <w:r>
        <w:rPr>
          <w:color w:val="555555"/>
          <w:sz w:val="18"/>
        </w:rPr>
        <w:t xml:space="preserve">Sächsische Garagen- und Stellplatzverordnung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Weitergehende Anforderungen als nach dieser Verordnung können zur Erfüllung des § 3 SächsBO gestellt werden, soweit Garagen oder Stellplätze für Kraftfahrzeuge bestimmt sind, deren Länge mehr als 5 m und deren Breite mehr als 2 m beträgt.</w:t>
      </w:r>
    </w:p>
    <w:p>
      <w:r>
        <w:rPr>
          <w:color w:val="555555"/>
          <w:sz w:val="17"/>
        </w:rPr>
        <w:t xml:space="preserve">Zitiervorschlag: § 21 SächsGarStellplVO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https://recht.nulegal.eu/gesetze/S%C3%A4chsGarStellplVO/21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