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SächsGVEVO (Sachsen)</w:t>
      </w:r>
    </w:p>
    <w:p>
      <w:r>
        <w:rPr>
          <w:color w:val="555555"/>
          <w:sz w:val="18"/>
        </w:rPr>
        <w:t xml:space="preserve">Sächsische Gerichtsvollzieherentschädigungs­verordnung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77 des Sächsischen Besoldungsgesetzes vom 6. Juli 2023 (SächsGVBl. S. 467, 476), verordnet das Staatsministerium der Justiz und für Demokratie, Europa und Gleichstellung im Einvernehmen mit dem Sächsischen Staatsministerium der Finanzen:</w:t>
      </w:r>
    </w:p>
    <w:p>
      <w:r>
        <w:rPr>
          <w:color w:val="555555"/>
          <w:sz w:val="17"/>
        </w:rPr>
        <w:t xml:space="preserve">Zitiervorschlag: Eingangsformel SächsGVEVO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https://recht.nulegal.eu/gesetze/S%C3%A4chsGVEVO/eingangsformel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