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SächsGTAVO (Sachsen)</w:t>
      </w:r>
    </w:p>
    <w:p>
      <w:r>
        <w:rPr>
          <w:color w:val="555555"/>
          <w:sz w:val="18"/>
        </w:rPr>
        <w:t xml:space="preserve">Sächsische Ganztagsangebotsverordnung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Vom 17. Januar 2017</w:t>
      </w:r>
    </w:p>
    <w:p>
      <w:r>
        <w:t xml:space="preserve">Auf Grund des § 2 des Sächsischen Ganztagsangebotsgesetzes vom 13. Dezember 2012 (SächsGVBl. S. 725, 733) unter Berücksichtigung des Artikels 15 des Gesetzes vom 15. Dezember 2016 (SächsGVBl. S. 630) verordnet das Staatsministerium für Kultus im Einvernehmen mit dem Staatsministerium der Finanzen:</w:t>
      </w:r>
    </w:p>
    <w:p>
      <w:r>
        <w:rPr>
          <w:color w:val="555555"/>
          <w:sz w:val="17"/>
        </w:rPr>
        <w:t xml:space="preserve">Zitiervorschlag: Eingangsformel SächsGTAVO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https://recht.nulegal.eu/gesetze/S%C3%A4chsGTAVO/eingangsformel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SächsGTAVO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