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SächsGFG (Sachsen)</w:t>
      </w:r>
    </w:p>
    <w:p>
      <w:r>
        <w:rPr>
          <w:color w:val="555555"/>
          <w:sz w:val="18"/>
        </w:rPr>
        <w:t xml:space="preserve">Sächsisches Generationenfondsgesetz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13. Dezember 2012</w:t>
      </w:r>
    </w:p>
    <w:p>
      <w:r>
        <w:rPr>
          <w:color w:val="555555"/>
          <w:sz w:val="17"/>
        </w:rPr>
        <w:t xml:space="preserve">Zitiervorschlag: Eingangsformel SächsGFG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