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SächsGDNutzVO (Sachsen)</w:t>
      </w:r>
    </w:p>
    <w:p>
      <w:r>
        <w:rPr>
          <w:color w:val="555555"/>
          <w:sz w:val="18"/>
        </w:rPr>
        <w:t xml:space="preserve">Sächsische Geodatennutzungsverordnung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August 2017</w:t>
      </w:r>
    </w:p>
    <w:p>
      <w:r>
        <w:t xml:space="preserve">Auf Grund des § 10 Nummer 3 des Sächsischen Geodateninfrastrukturgesetzes vom 19. Mai 2010 (SächsGVBl. S. 134) verordnet das Staatsministerium des Innern im Einvernehmen mit dem Staatsministerium der Finanzen:</w:t>
      </w:r>
    </w:p>
    <w:p>
      <w:r>
        <w:rPr>
          <w:color w:val="555555"/>
          <w:sz w:val="17"/>
        </w:rPr>
        <w:t xml:space="preserve">Zitiervorschlag: Eingangsformel SächsGDNutzVO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https://recht.nulegal.eu/gesetze/S%C3%A4chsGDNutzVO/eingangsformel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