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SächsGDNutzVO (Sachsen) — Inkrafttreten</w:t>
      </w:r>
    </w:p>
    <w:p>
      <w:r>
        <w:rPr>
          <w:color w:val="555555"/>
          <w:sz w:val="18"/>
        </w:rPr>
        <w:t xml:space="preserve">Sächsische Geodatennutzungsverordnung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Tag nach der Verkündung in Kraft.</w:t>
      </w:r>
    </w:p>
    <w:p>
      <w:r>
        <w:t xml:space="preserve">Dresden, den 10. August 2017</w:t>
      </w:r>
    </w:p>
    <w:p>
      <w:r>
        <w:t xml:space="preserve">Der Staatsminister des Innern</w:t>
      </w:r>
    </w:p>
    <w:p>
      <w:r>
        <w:t xml:space="preserve">Markus Ulbig</w:t>
      </w:r>
    </w:p>
    <w:p>
      <w:r>
        <w:rPr>
          <w:color w:val="555555"/>
          <w:sz w:val="17"/>
        </w:rPr>
        <w:t xml:space="preserve">Zitiervorschlag: § 2 SächsGDNutzVO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https://recht.nulegal.eu/gesetze/S%C3%A4chsGDNutzVO/2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