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SächsGDIG (Sachsen) — Übergangsbestimmungen</w:t>
      </w:r>
    </w:p>
    <w:p>
      <w:r>
        <w:rPr>
          <w:color w:val="555555"/>
          <w:sz w:val="18"/>
        </w:rPr>
        <w:t xml:space="preserve">Sächsisches Geodateninfrastrukturgesetz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geodatenhaltenden Stellen gewährleisten, dass Metadaten,</w:t>
      </w:r>
    </w:p>
    <w:p>
      <w:r>
        <w:t xml:space="preserve">1. die Geodaten, die die in Nummer 1 bis 13 der Anlage zu diesem Gesetz genannten Themenbereiche betreffen, bis spätestens am 3. Dezember 2010 und</w:t>
      </w:r>
    </w:p>
    <w:p>
      <w:r>
        <w:t xml:space="preserve">2. die Geodaten, die die in Nummer 14 bis 32 der Anlage zu diesem Gesetz genannten Themenbereiche betreffen, bis spätestens am 3. Dezember 2013</w:t>
      </w:r>
    </w:p>
    <w:p>
      <w:r>
        <w:t xml:space="preserve">erstmals dem Landesamt für Geobasisinformation Sachsen übermittelt werden oder von diesem im Sinne des § 7 Absatz 5 Satz 4 abgerufen werden können. Das Landesamt für Geobasisinformation Sachsen gewährleistet, dass die Metadaten nach § 6 Absatz 1 zu den in Satz 1 genannten Zeitpunkten über einen Suchdienst zugänglich sind.</w:t>
      </w:r>
    </w:p>
    <w:p>
      <w:r>
        <w:t xml:space="preserve">(2) Die geodatenhaltenden Stellen gewährleisten, dass</w:t>
      </w:r>
    </w:p>
    <w:p>
      <w:r>
        <w:t xml:space="preserve">1. die von ihnen neu erfassten und weitgehend umstrukturierten Geodaten bis spätestens zwei Jahre und</w:t>
      </w:r>
    </w:p>
    <w:p>
      <w:r>
        <w:t xml:space="preserve">2. die noch in Verwendung stehenden anderen Geodaten bis spätestens sieben Jahre</w:t>
      </w:r>
    </w:p>
    <w:p>
      <w:r>
        <w:t xml:space="preserve">nach Erlass der Durchführungsbestimmungen nach Artikel 7 Absatz 1 in Verbindung mit Artikel 9 der Richtlinie 2007/2/EG über die erforderlichen Netzdienste zugänglich sind. Geodaten im Sinne von Satz 1 Nummer 2 können entweder durch Anpassung oder durch Transformationsdienste verfügbar gemacht werden.</w:t>
      </w:r>
    </w:p>
    <w:p>
      <w:r>
        <w:rPr>
          <w:color w:val="555555"/>
          <w:sz w:val="17"/>
        </w:rPr>
        <w:t xml:space="preserve">Zitiervorschlag: § 11 SächsGDIG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https://recht.nulegal.eu/gesetze/S%C3%A4chsGDIG/11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