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SächsGDIG (Sachsen) — Ermächtigung zum Erlass von Rechtsverordnungen</w:t>
      </w:r>
    </w:p>
    <w:p>
      <w:r>
        <w:rPr>
          <w:color w:val="555555"/>
          <w:sz w:val="18"/>
        </w:rPr>
        <w:t xml:space="preserve">Sächsisches Geodateninfrastrukturgesetz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Regionalentwicklung wird ermächtigt, im Einvernehmen mit dem Staatsministerium der Finanzen durch Rechtsverordnungen Vorschriften zur Ausführung dieses Gesetzes zu erlassen über</w:t>
      </w:r>
    </w:p>
    <w:p>
      <w:r>
        <w:t xml:space="preserve">1. die Erfüllung der Verpflichtungen aus den Durchführungsbestimmungen nach Artikel 5 Absatz 4, Artikel 7 Absatz 1, Artikel 16, 17 Absatz 8 Satz 2 sowie Artikel 21 Absatz 4 der Richtlinie 2007/2/EG,</w:t>
      </w:r>
    </w:p>
    <w:p>
      <w:r>
        <w:t xml:space="preserve">2. die Spezifikation von Geodaten, Metadaten und Netzdiensten sowie die Implementierung von Netzdiensten zur Erfüllung der Pflichten nach den §§ 5 bis 7,</w:t>
      </w:r>
    </w:p>
    <w:p>
      <w:r>
        <w:t xml:space="preserve">3. die einheitliche Gestaltung der Lizenzen und öffentlich-rechtlichen Erlaubnisse für den Zugang und die Nutzung der Geodaten und Geodatendienste im Sinne von § 9,</w:t>
      </w:r>
    </w:p>
    <w:p>
      <w:r>
        <w:t xml:space="preserve">4. das landesweite Metainformationssystem sowie über die Verfahren zur Übermittlung der Metadaten und den automatischen Abruf von Metadaten und</w:t>
      </w:r>
    </w:p>
    <w:p>
      <w:r>
        <w:t xml:space="preserve">5. die Koordinierung, Steuerung und Überwachung des Betriebs der GDI Sachsen.</w:t>
      </w:r>
    </w:p>
    <w:p>
      <w:r>
        <w:rPr>
          <w:color w:val="555555"/>
          <w:sz w:val="17"/>
        </w:rPr>
        <w:t xml:space="preserve">Zitiervorschlag: § 10 SächsGDIG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https://recht.nulegal.eu/gesetze/S%C3%A4chsGDIG/10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