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SächsGDG (Sachsen) — Ordnungswidrigkeiten</w:t>
      </w:r>
    </w:p>
    <w:p>
      <w:r>
        <w:rPr>
          <w:color w:val="555555"/>
          <w:sz w:val="18"/>
        </w:rPr>
        <w:t xml:space="preserve">Sächsisches Gesundheitsdienstgesetz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im Zusammenhang mit der Überwachung von Einrichtungen nach § 9 Absatz 1</w:t>
      </w:r>
    </w:p>
    <w:p>
      <w:r>
        <w:t xml:space="preserve">a)</w:t>
      </w:r>
    </w:p>
    <w:p>
      <w:r>
        <w:t xml:space="preserve">eine Auskunft nach § 11 Absatz 2 Satz 1 nicht, nicht rechtzeitig, nicht vollständig oder nicht richtig erteilt oder</w:t>
      </w:r>
    </w:p>
    <w:p>
      <w:r>
        <w:t xml:space="preserve">b)</w:t>
      </w:r>
    </w:p>
    <w:p>
      <w:r>
        <w:t xml:space="preserve">entgegen § 11 Absatz 3 Satz 1 die mit der Überwachung beauftragten Personen nicht unterstützt,</w:t>
      </w:r>
    </w:p>
    <w:p>
      <w:r>
        <w:t xml:space="preserve">2. einer Rechtsverordnung nach § 13 Absatz 3 oder einer vollziehbaren Anordnung aufgrund einer solchen Rechtsverordnung zuwiderhandelt, soweit die Rechtsverordnung für einen bestimmten Tatbestand auf diese Bußgeldvorschrift verweist, oder</w:t>
      </w:r>
    </w:p>
    <w:p>
      <w:r>
        <w:t xml:space="preserve">3. die nach § 14 Absatz 1 vorgeschriebenen Anzeigen nicht, nicht rechtzeitig, nicht vollständig oder nicht richtig erstattet.</w:t>
      </w:r>
    </w:p>
    <w:p>
      <w:r>
        <w:t xml:space="preserve">(2) Die Ordnungswidrigkeit kann mit einer Geldbuße bis zu siebentausend Euro geahndet werden.</w:t>
      </w:r>
    </w:p>
    <w:p>
      <w:r>
        <w:t xml:space="preserve">(3) Verwaltungsbehörden im Sinne von § 36 Absatz 1 Nummer 1 des Gesetzes über Ordnungswidrigkeiten sind</w:t>
      </w:r>
    </w:p>
    <w:p>
      <w:r>
        <w:t xml:space="preserve">1. die Gemeinden bei Ordnungswidrigkeiten nach Absatz 1 Nummer 2,</w:t>
      </w:r>
    </w:p>
    <w:p>
      <w:r>
        <w:t xml:space="preserve">2. im Übrigen die Landkreise und Kreisfreien Städte, soweit gesetzlich nichts anderes bestimmt ist.</w:t>
      </w:r>
    </w:p>
    <w:p>
      <w:r>
        <w:rPr>
          <w:color w:val="555555"/>
          <w:sz w:val="17"/>
        </w:rPr>
        <w:t xml:space="preserve">Zitiervorschlag: § 21 SächsGDG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https://recht.nulegal.eu/gesetze/S%C3%A4chsGDG/21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