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SächsGAVO (Sachsen)</w:t>
      </w:r>
    </w:p>
    <w:p>
      <w:r>
        <w:rPr>
          <w:color w:val="555555"/>
          <w:sz w:val="18"/>
        </w:rPr>
        <w:t xml:space="preserve">Sächsische Gutachterausschussverordnung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</w:t>
      </w:r>
    </w:p>
    <w:p>
      <w:r>
        <w:t xml:space="preserve">1. durch die Staatsregierung aufgrund von § 199 Abs. 2 des Baugesetzbuches ( BauGB ) in der Fassung der Bekanntmachung vom 23. September 2004 (BGBl. I S. 2414), das zuletzt durch Artikel 1 des Gesetzes vom 22. Juli 2011 (BGBl. I S. 1509) geändert worden ist, und</w:t>
      </w:r>
    </w:p>
    <w:p>
      <w:r>
        <w:t xml:space="preserve">2. durch das Staatsministerium des Innern aufgrund von § 29 Abs. 1 Nr. 9 des Gesetzes über das amtliche Vermessungswesen und das Liegenschaftskataster im Freistaat Sachsen (Sächsisches Vermessungs- und Katastergesetz – SächsVermKatG) vom 29. Januar 2008 (SächsGVBl. S. 138, 148), das durch Artikel 2 des Gesetzes vom 19. Mai 2010 (SächsGVBl. S. 134, 140) geändert worden ist.</w:t>
      </w:r>
    </w:p>
    <w:p>
      <w:r>
        <w:rPr>
          <w:color w:val="555555"/>
          <w:sz w:val="17"/>
        </w:rPr>
        <w:t xml:space="preserve">Zitiervorschlag: Eingangsformel SächsGAVO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