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SächsGAVO (Sachsen) — Geschäftsstelle</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Geschäftsstelle wird bei der Gebietskörperschaft eingerichtet, bei der der Gutachterausschuss gebildet ist. Der Geschäftsstelle obliegt nach Weisung der oder des Vorsitzenden die Erledigung der laufenden Verwaltungsaufgaben des Gutachterausschusses, insbesondere die</w:t>
      </w:r>
    </w:p>
    <w:p>
      <w:r>
        <w:t xml:space="preserve">1. Einrichtung und Führung der Kaufpreissammlung,</w:t>
      </w:r>
    </w:p>
    <w:p>
      <w:r>
        <w:t xml:space="preserve">2. Vorbereitung der Wertermittlungen für Gutachten sowie der Ermittlung der Bodenrichtwerte, der Anfangs- und Endwerte nach § 154 Absatz 2 des Baugesetzbuches, der sonstigen für die Wertermittlung erforderlichen Daten nach § 193 Absatz 5 des Baugesetzbuches und der für die Erfüllung der Aufgaben nach § 12 Absatz 2 erforderlichen Daten,</w:t>
      </w:r>
    </w:p>
    <w:p>
      <w:r>
        <w:t xml:space="preserve">3. Ausfertigung der Gutachten,</w:t>
      </w:r>
    </w:p>
    <w:p>
      <w:r>
        <w:t xml:space="preserve">4. Erteilung von Auskünften aus der Kaufpreissammlung,</w:t>
      </w:r>
    </w:p>
    <w:p>
      <w:r>
        <w:t xml:space="preserve">5. Erteilung von Auskünften zu Bodenrichtwerten,</w:t>
      </w:r>
    </w:p>
    <w:p>
      <w:r>
        <w:t xml:space="preserve">6. Bereitstellung von Informationen aus dem Bodenrichtwertinformationssystem des Freistaates Sachsen für ihren Zuständigkeitsbereich,</w:t>
      </w:r>
    </w:p>
    <w:p>
      <w:r>
        <w:t xml:space="preserve">7. Übermittlung der Bodenrichtwerte an das Bodenrichtwertinformationssystem des Freistaates Sachsen,</w:t>
      </w:r>
    </w:p>
    <w:p>
      <w:r>
        <w:t xml:space="preserve">8. Unterstützung des Gutachterausschusses bei Veröffentlichungen,</w:t>
      </w:r>
    </w:p>
    <w:p>
      <w:r>
        <w:t xml:space="preserve">9. Festsetzung der Entschädigung nach § 19 für die Mitglieder des Gutachterausschusses,</w:t>
      </w:r>
    </w:p>
    <w:p>
      <w:r>
        <w:t xml:space="preserve">10. Festsetzung der Gebühren oder Entgelte für die Tätigkeit des Gutachterausschusses sowie</w:t>
      </w:r>
    </w:p>
    <w:p>
      <w:r>
        <w:t xml:space="preserve">11. Übermittlung von Daten der Kaufpreissammlung an die Marktdatensammlung des Oberen Gutachterausschusses.</w:t>
      </w:r>
    </w:p>
    <w:p>
      <w:r>
        <w:rPr>
          <w:color w:val="555555"/>
          <w:sz w:val="17"/>
        </w:rPr>
        <w:t xml:space="preserve">Zitiervorschlag: § 8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