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SächsGAVO (Sachsen) — Aufgaben der oder des Vorsitzenden</w:t>
      </w:r>
    </w:p>
    <w:p>
      <w:r>
        <w:rPr>
          <w:color w:val="555555"/>
          <w:sz w:val="18"/>
        </w:rPr>
        <w:t xml:space="preserve">Sächsische Gutachterausschussverordnung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Vorsitzende ist für den ordnungsgemäßen Geschäftsbetrieb verantwortlich. Ihr oder ihm obliegt insbesondere die</w:t>
      </w:r>
    </w:p>
    <w:p>
      <w:r>
        <w:t xml:space="preserve">1. Vertretung des Gutachterausschusses,</w:t>
      </w:r>
    </w:p>
    <w:p>
      <w:r>
        <w:t xml:space="preserve">2. Besetzung des Gutachterausschusses im Einzelfall nach § 5 Abs. 3,</w:t>
      </w:r>
    </w:p>
    <w:p>
      <w:r>
        <w:t xml:space="preserve">3. Verpflichtung der weiteren Gutachterinnen und Gutachter nach § 3 Abs. 2,</w:t>
      </w:r>
    </w:p>
    <w:p>
      <w:r>
        <w:t xml:space="preserve">4. Leitung der Sitzungen,</w:t>
      </w:r>
    </w:p>
    <w:p>
      <w:r>
        <w:t xml:space="preserve">5. Wahrnehmung der Befugnisse nach § 197 des Baugesetzbuches , soweit sie oder er damit nicht die Geschäftsstelle beauftragt,</w:t>
      </w:r>
    </w:p>
    <w:p>
      <w:r>
        <w:t xml:space="preserve">6. Erteilung fachlicher Weisungen an die Geschäftsstelle sowie</w:t>
      </w:r>
    </w:p>
    <w:p>
      <w:r>
        <w:t xml:space="preserve">7. Erläuterung der Gutachten vor Behörden und Gerichten, soweit sie oder er hierzu nicht eine sonstige sachkundige Person als Vertreter bestimmt.</w:t>
      </w:r>
    </w:p>
    <w:p>
      <w:r>
        <w:rPr>
          <w:color w:val="555555"/>
          <w:sz w:val="17"/>
        </w:rPr>
        <w:t xml:space="preserve">Zitiervorschlag: § 7 SächsGAVO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