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SächsGAVO (Sachsen) — Anzuwendende Bestimmungen</w:t>
      </w:r>
    </w:p>
    <w:p>
      <w:r>
        <w:rPr>
          <w:color w:val="555555"/>
          <w:sz w:val="18"/>
        </w:rPr>
        <w:t xml:space="preserve">Sächsische Gutachterausschussverordnung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sich aus den §§ 15 bis 17 nichts anderes ergibt, sind die §§ 1 bis 14 auf den Oberen Gutachterausschuss und seine Geschäftsstelle entsprechend anzuwenden.</w:t>
      </w:r>
    </w:p>
    <w:p>
      <w:r>
        <w:rPr>
          <w:color w:val="555555"/>
          <w:sz w:val="17"/>
        </w:rPr>
        <w:t xml:space="preserve">Zitiervorschlag: § 18 SächsGAVO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https://recht.nulegal.eu/gesetze/S%C3%A4chsGAVO/18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