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SächsGAVO (Sachsen) — Aufgaben der Geschäftsstelle</w:t>
      </w:r>
    </w:p>
    <w:p>
      <w:r>
        <w:rPr>
          <w:color w:val="555555"/>
          <w:sz w:val="18"/>
        </w:rPr>
        <w:t xml:space="preserve">Sächsische Gutachterausschussverordnung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Geschäftsstelle des Oberen Gutachterausschusses wird bei dem Landesamt für Geobasisinformation Sachsen eingerichtet.</w:t>
      </w:r>
    </w:p>
    <w:p>
      <w:r>
        <w:t xml:space="preserve">(2) Die Geschäftsstelle des Oberen Gutachterausschusses führt nach Weisung der oder des Vorsitzenden insbesondere folgende Aufgaben aus:</w:t>
      </w:r>
    </w:p>
    <w:p>
      <w:r>
        <w:t xml:space="preserve">1. Erledigung der laufenden Verwaltungsaufgaben des Oberen Gutachterausschusses,</w:t>
      </w:r>
    </w:p>
    <w:p>
      <w:r>
        <w:t xml:space="preserve">2. vorbereitende und abschließende Arbeiten zu den Beschlüssen des Oberen Gutachterausschusses und den Aufgaben nach § 16,</w:t>
      </w:r>
    </w:p>
    <w:p>
      <w:r>
        <w:t xml:space="preserve">3. redaktionelle Vorbereitung und Bereitstellung von Berichten und Informationen des Oberen Gutachterausschusses,</w:t>
      </w:r>
    </w:p>
    <w:p>
      <w:r>
        <w:t xml:space="preserve">4. Festsetzung der Entschädigung nach § 19 für die Mitglieder des Oberen Gutachterausschusses,</w:t>
      </w:r>
    </w:p>
    <w:p>
      <w:r>
        <w:t xml:space="preserve">5. Festsetzung der Gebühren oder Entgelte für die Tätigkeit des Oberen Gutachterausschusses sowie</w:t>
      </w:r>
    </w:p>
    <w:p>
      <w:r>
        <w:t xml:space="preserve">6. Betrieb und regelmäßige Aktualisierung einer Marktdatensammlung, in der Daten aus den Kaufpreissammlungen nach § 9 gespeichert werden.</w:t>
      </w:r>
    </w:p>
    <w:p>
      <w:r>
        <w:rPr>
          <w:color w:val="555555"/>
          <w:sz w:val="17"/>
        </w:rPr>
        <w:t xml:space="preserve">Zitiervorschlag: § 17 SächsGAVO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https://recht.nulegal.eu/gesetze/S%C3%A4chsGAVO/17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