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SächsGAVO (Sachsen) — Aufgaben des Oberen Gutachterausschusses</w:t>
      </w:r>
    </w:p>
    <w:p>
      <w:r>
        <w:rPr>
          <w:color w:val="555555"/>
          <w:sz w:val="18"/>
        </w:rPr>
        <w:t xml:space="preserve">Sächsische Gutachterausschussverordnung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Obere Gutachterausschuss hat folgende Aufgaben:</w:t>
      </w:r>
    </w:p>
    <w:p>
      <w:r>
        <w:t xml:space="preserve">1. Erstattung von Obergutachten, wenn bereits ein Gutachten eines Gutachterausschusses vorliegt, auf Antrag</w:t>
      </w:r>
    </w:p>
    <w:p>
      <w:r>
        <w:t xml:space="preserve">a.</w:t>
      </w:r>
    </w:p>
    <w:p>
      <w:r>
        <w:t xml:space="preserve">eines Gerichts,</w:t>
      </w:r>
    </w:p>
    <w:p>
      <w:r>
        <w:t xml:space="preserve">b.</w:t>
      </w:r>
    </w:p>
    <w:p>
      <w:r>
        <w:t xml:space="preserve">einer Behörde in einem gesetzlich geregelten Verfahren oder</w:t>
      </w:r>
    </w:p>
    <w:p>
      <w:r>
        <w:t xml:space="preserve">c.</w:t>
      </w:r>
    </w:p>
    <w:p>
      <w:r>
        <w:t xml:space="preserve">der sonst nach § 193 Abs. 1 BauGB Berechtigten, wenn für das Obergutachten eine bindende Wirkung bestimmt oder vereinbart worden ist,</w:t>
      </w:r>
    </w:p>
    <w:p>
      <w:r>
        <w:t xml:space="preserve">2. Auswertung und Analyse des Grundstücksmarkts im Freistaat Sachsen,</w:t>
      </w:r>
    </w:p>
    <w:p>
      <w:r>
        <w:t xml:space="preserve">3. Erstellung des Grundstücksmarktberichtes für das Gebiet des Freistaates Sachsen,</w:t>
      </w:r>
    </w:p>
    <w:p>
      <w:r>
        <w:t xml:space="preserve">4. Mitwirkung bei der Herstellung einer bundesweiten Grundstücksmarkttransparenz,</w:t>
      </w:r>
    </w:p>
    <w:p>
      <w:r>
        <w:t xml:space="preserve">5. Abgabe von Empfehlungen für die Tätigkeit der Gutachterausschüsse und deren Geschäftsstellen sowie Unterstützung bei der Fortbildung von Mitgliedern der Gutachterausschüsse sowie der Geschäftsstellenmitarbeiterinnen und -mitarbeiter,</w:t>
      </w:r>
    </w:p>
    <w:p>
      <w:r>
        <w:t xml:space="preserve">6. Festlegung von inhaltlichen Anforderungen für die Einrichtung und Führung des Bodenrichtwertinformationssystems des Freistaates Sachsen,</w:t>
      </w:r>
    </w:p>
    <w:p>
      <w:r>
        <w:t xml:space="preserve">7. Auswertung der Informationen aus der Kaufpreissammlung zu Objekten, die bei den Gutachterausschüssen nur vereinzelt vorhanden sind, sowie</w:t>
      </w:r>
    </w:p>
    <w:p>
      <w:r>
        <w:t xml:space="preserve">8. Festlegung von fachlichen und technischen Anforderungen für die Einrichtung und Führung der Marktdatensammlung des Oberen Gutachterausschusses.</w:t>
      </w:r>
    </w:p>
    <w:p>
      <w:r>
        <w:t xml:space="preserve">(2) Der Obere Gutachterausschuss kann auf Antrag eines Mieters oder Pächters nach § 12 Abs. 2 Satz 2 ein Obergutachten erstatten, wenn für das Obergutachten eine bindende Wirkung bestimmt oder vereinbart worden ist. Außerdem kann er Untersuchungen zum sächsischen Grundstücksmarkt durchführen und veröffentlichen.</w:t>
      </w:r>
    </w:p>
    <w:p>
      <w:r>
        <w:rPr>
          <w:color w:val="555555"/>
          <w:sz w:val="17"/>
        </w:rPr>
        <w:t xml:space="preserve">Zitiervorschlag: § 16 SächsGAVO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https://recht.nulegal.eu/gesetze/S%C3%A4chsGAVO/16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SächsGAVO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