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SächsGAVO (Sachsen) — Übermittlung von Informationen durch die Flurbereinigungsbehörden</w:t>
      </w:r>
    </w:p>
    <w:p>
      <w:r>
        <w:rPr>
          <w:color w:val="555555"/>
          <w:sz w:val="18"/>
        </w:rPr>
        <w:t xml:space="preserve">Sächsische Gutachterausschussverordnung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Flurbereinigungsbehörden übermitteln dem zuständigen Gutachterausschuss zur Führung und Auswertung der Kaufpreissammlung Informationen über</w:t>
      </w:r>
    </w:p>
    <w:p>
      <w:r>
        <w:t xml:space="preserve">1. Kapitalbeträge nach § 40 des Flurbereinigungsgesetzes in der Fassung der Bekanntmachung vom 16. März 1976 (BGBl. I S. 546), das zuletzt durch Artikel 17 des Gesetzes vom 19. Dezember 2008 (BGBl. I S. 2794) geändert worden ist, in der jeweils geltenden Fassung,</w:t>
      </w:r>
    </w:p>
    <w:p>
      <w:r>
        <w:t xml:space="preserve">2. Geldabfindungen nach § 52 des Flurbereinigungsgesetzes sowie nach § 58 Absatz 2 des Landwirtschaftsanpassungsgesetzes in der Fassung der Bekanntmachung vom 3. Juli 1991 (BGBl. l S. 1418), das zuletzt durch Artikel 136 des Gesetzes vom 10. August 2021 (BGBl. I S. 3436) geändert worden ist, in der jeweils geltenden Fassung,</w:t>
      </w:r>
    </w:p>
    <w:p>
      <w:r>
        <w:t xml:space="preserve">3. Geldabfindungen und Geldausgleiche nach § 54 Absatz 1 und § 55 Absatz 2 des Flurbereinigungsgesetzes und</w:t>
      </w:r>
    </w:p>
    <w:p>
      <w:r>
        <w:t xml:space="preserve">4. Geldentschädigungen nach § 88 Nummer 4 und § 89 Absatz 2 des Flurbereinigungsgesetzes .</w:t>
      </w:r>
    </w:p>
    <w:p>
      <w:r>
        <w:rPr>
          <w:color w:val="555555"/>
          <w:sz w:val="17"/>
        </w:rPr>
        <w:t xml:space="preserve">Zitiervorschlag: § 13 SächsGAVO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https://recht.nulegal.eu/gesetze/S%C3%A4chsGAVO/13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