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SächsGAPUVO (Sachsen)</w:t>
      </w:r>
    </w:p>
    <w:p>
      <w:r>
        <w:rPr>
          <w:color w:val="555555"/>
          <w:sz w:val="18"/>
        </w:rPr>
        <w:t xml:space="preserve">Sächsische GAP-Umsetzungsverordnung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Grund</w:t>
      </w:r>
    </w:p>
    <w:p>
      <w:r>
        <w:t xml:space="preserve">– des § 23 Absatz 1 Nummer 2 und Absatz 4 des GAP-Konditionalitäten-Gesetzes vom 16. Juli 2021 (BGBl. I S. 2996) in Verbindung mit § 11 Absatz 1 und 4, § 15 Absatz 2 Satz 2, § 16 Absatz 1 Satz 2 und Absatz 5 sowie § 23 Absatz 4 der GAP-Konditionalitäten-Verordnung vom 7. Dezember 2022 (BGBl. I S. 2244), von denen § 11 Absatz 4 durch Verordnung vom 9. Dezember 2022 (BGBl. I S. 2273) geändert worden ist,</w:t>
      </w:r>
    </w:p>
    <w:p>
      <w:r>
        <w:t xml:space="preserve">– des § 6 Absatz 1 Nummer 2 und Absatz 5 Satz 1 und 3 des Marktorganisationsgesetzes in der Fassung der Bekanntmachung vom 7. November 2017 (BGBl. I S. 3746) in Verbindung mit § 2 Satz 1 Nummer 1 und § 20 Absatz 2 Nummer 1 des GAP-Direktzahlungen-Gesetzes vom 16. Juli 2021 (BGBl. I S. 3003) sowie § 17 Absatz 3 bis 5 der GAP-Direktzahlungen-Verordnung vom 24. Januar 2022 (BGBl. I S. 139), von denen Absatz 3 durch Verordnung vom 30. November 2022 (BAnz AT 01.12.2022 V1) geändert worden ist,</w:t>
      </w:r>
    </w:p>
    <w:p>
      <w:r>
        <w:t xml:space="preserve">– des § 17 Absatz 1 Satz 2 Nummer 1 in Verbindung mit Absatz 3 des GAP-Integriertes Verwaltungs- und Kontrollsystem-Gesetzes vom 10. August 2021 (BGBl. I S. 3523) und des § 6 Absatz 1 Nummer 2 in Verbindung mit Absatz 5 Satz 1 des Marktorganisationsgesetzes in der Fassung der Bekanntmachung vom 7. November 2017 (BGBl. I S. 3746), § 2 Satz 1 Nummer 1 und § 20 Absatz 2 Nummer 1 des GAP-Direktzahlungen-Gesetzes vom 16. Juli 2021 (BGBl. I S. 3003) sowie § 3 Absatz 3 Satz 3 und Absatz 4 der GAPInVeKoS-Verordnung vom 19. Dezember 2022 (BAnz AT 19.12.2022 V1),</w:t>
      </w:r>
    </w:p>
    <w:p>
      <w:r>
        <w:t xml:space="preserve">– des § 17 Absatz 1 Satz 2 Nummer 1 in Verbindung mit Absatz 3 des GAP-Integriertes Verwaltungs- und Kontrollsystem-Gesetzes vom 10. August 2021 (BGBl. I S. 3523) sowie mit § 5 Absatz 1 der GAPInVeKoS-Verordnung vom 19. Dezember 2022 (BAnz AT 19.12.2022 V1),</w:t>
      </w:r>
    </w:p>
    <w:p>
      <w:r>
        <w:t xml:space="preserve">– des § 17 Absatz 1 Satz 2 Nummer 2 Buchstabe a in Verbindung mit Absatz 3 des GAP-Integriertes Verwaltungs- und Kontrollsystem-Gesetzes vom 10. August 2021 (BGBl. I S. 3523) und § 9a in Verbindung mit § 6 Absatz 5 Satz 1 und 3 des Marktorganisationsgesetzes in der Fassung der Bekanntmachung vom 7. November 2017 (BGBl. I S. 3746) sowie § 21 Absatz 2 der GAPInVeKoS-Verordnung vom 19. Dezember 2022 (BAnz AT 19.12.2022 V1)</w:t>
      </w:r>
    </w:p>
    <w:p>
      <w:r>
        <w:t xml:space="preserve">verordnet die Staatsregierung:</w:t>
      </w:r>
    </w:p>
    <w:p>
      <w:r>
        <w:rPr>
          <w:color w:val="555555"/>
          <w:sz w:val="17"/>
        </w:rPr>
        <w:t xml:space="preserve">Zitiervorschlag: Eingangsformel SächsGAPUVO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https://recht.nulegal.eu/gesetze/S%C3%A4chsGAPUVO/eingangsformel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