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SächsGAPUVO (Sachsen) — Inkrafttreten, Außerkrafttreten</w:t>
      </w:r>
    </w:p>
    <w:p>
      <w:r>
        <w:rPr>
          <w:color w:val="555555"/>
          <w:sz w:val="18"/>
        </w:rPr>
        <w:t xml:space="preserve">Sächsische GAP-Umsetzungsverordnung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Gleichzeitig treten außer Kraft</w:t>
      </w:r>
    </w:p>
    <w:p>
      <w:r>
        <w:t xml:space="preserve">1. die Sächsische GAP-Umsetzungsverordnung vom 4. Mai 2016 (SächsGVBl. S. 166), die durch die Verordnung vom 6. Juli 2021 (SächsGVBl. S. 776) geändert worden ist,</w:t>
      </w:r>
    </w:p>
    <w:p>
      <w:r>
        <w:t xml:space="preserve">2. die Sächsische GAP-Anforderungenverordnung vom 14. Juni 2016 (SächsGVBl. S. 268), die durch die Verordnung vom 12. Januar 2022 (SächsGVBl. S. 114) geändert worden ist.</w:t>
      </w:r>
    </w:p>
    <w:p>
      <w:r>
        <w:t xml:space="preserve">Dresden, den 2. Januar 2023</w:t>
      </w:r>
    </w:p>
    <w:p>
      <w:r>
        <w:t xml:space="preserve">Der Ministerpräsident</w:t>
      </w:r>
    </w:p>
    <w:p>
      <w:r>
        <w:t xml:space="preserve">Michael Kretschmer</w:t>
      </w:r>
    </w:p>
    <w:p>
      <w:r>
        <w:t xml:space="preserve">Der Staatsminister für Energie, Klimaschutz, Umwelt und Landwirtschaft</w:t>
      </w:r>
    </w:p>
    <w:p>
      <w:r>
        <w:t xml:space="preserve">Wolfram Günther</w:t>
      </w:r>
    </w:p>
    <w:p>
      <w:r>
        <w:rPr>
          <w:color w:val="555555"/>
          <w:sz w:val="17"/>
        </w:rPr>
        <w:t xml:space="preserve">Zitiervorschlag: § 9 SächsGAPUVO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https://recht.nulegal.eu/gesetze/S%C3%A4chsGAPUVO/9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SächsGAPUVO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