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SächsGAPUVO (Sachsen) — Übertragung von Ermächtigungen</w:t>
      </w:r>
    </w:p>
    <w:p>
      <w:r>
        <w:rPr>
          <w:color w:val="555555"/>
          <w:sz w:val="18"/>
        </w:rPr>
        <w:t xml:space="preserve">Sächsische GAP-Umsetzungsverordnung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das Staatsministerium für Energie, Klimaschutz, Umwelt und Landwirtschaft werden die folgenden Ermächtigungen zum Erlass von Rechtsverordnungen, einschließlich solcher zur Änderung dieser Verordnung, übertragen:</w:t>
      </w:r>
    </w:p>
    <w:p>
      <w:r>
        <w:t xml:space="preserve">1. nach § 11 Absatz 1 und 4, § 15 Absatz 2 Satz 2, § 16 Absatz 1 Satz 2 und Absatz 5 sowie nach § 23 Absatz 4 der GAP-Konditionalitäten-Verordnung ,</w:t>
      </w:r>
    </w:p>
    <w:p>
      <w:r>
        <w:t xml:space="preserve">2. nach § 17 Absatz 3 bis 5 der GAP-Direktzahlungen-Verordnung ,</w:t>
      </w:r>
    </w:p>
    <w:p>
      <w:r>
        <w:t xml:space="preserve">3. nach § 3 Absatz 3 Satz 3 und Absatz 4, § 5 Absatz 1 sowie nach § 21 Absatz 2 der GAPInVeKoS-Verordnung .</w:t>
      </w:r>
    </w:p>
    <w:p>
      <w:r>
        <w:rPr>
          <w:color w:val="555555"/>
          <w:sz w:val="17"/>
        </w:rPr>
        <w:t xml:space="preserve">Zitiervorschlag: § 8 SächsGAPUVO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https://recht.nulegal.eu/gesetze/S%C3%A4chsGAPUVO/8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