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SächsGAPUVO (Sachsen) — Saatgutmischungen bei Blühstreifen oder -flächen</w:t>
      </w:r>
    </w:p>
    <w:p>
      <w:r>
        <w:rPr>
          <w:color w:val="555555"/>
          <w:sz w:val="18"/>
        </w:rPr>
        <w:t xml:space="preserve">Sächsische GAP-Umsetzungsverordnung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Zulässige Arten für Saatgutmischungen bei Blühstreifen oder -flächen ergeben sich aus Anhang 1 zu Anlage 5 der GAP-Direktzahlungen-Verordnung , soweit sie nicht in Anlage 8 genannt sind.</w:t>
      </w:r>
    </w:p>
    <w:p>
      <w:r>
        <w:t xml:space="preserve">(2) Zusätzlich werden die in Anlage 9 genannten Arten für Saatgutmischungen bei Blühstreifen oder -flächen zugelassen.</w:t>
      </w:r>
    </w:p>
    <w:p>
      <w:r>
        <w:rPr>
          <w:color w:val="555555"/>
          <w:sz w:val="17"/>
        </w:rPr>
        <w:t xml:space="preserve">Zitiervorschlag: § 7 SächsGAPUVO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https://recht.nulegal.eu/gesetze/S%C3%A4chsGAPUVO/7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