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SächsGAPUVO (Sachsen) — Feuchtgebiete und Moore</w:t>
      </w:r>
    </w:p>
    <w:p>
      <w:r>
        <w:rPr>
          <w:color w:val="555555"/>
          <w:sz w:val="18"/>
        </w:rPr>
        <w:t xml:space="preserve">Sächsische GAP-Umsetzungsverordnung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Ausweisung der Gebietskulisse der Feuchtgebiete und Moore nach § 10 Absatz 1 des GAP-Konditionalitäten-Gesetzes erfolgt auf Basis des Feldblocks. Die Ausweisung erfolgt gemäß § 11 Absatz 2 in Verbindung mit Absatz 3 Nummer 3 der GAP-Konditionalitäten-Verordnung . Die Mindestgröße für die Aufnahme eines Feuchtgebietes oder Moores in die Gebietskulisse gemäß § 11 Absatz 4 Nummer 1 der GAP-Konditionalitäten-Verordnung beträgt 0,1 Hektar zusammenhängende Fläche.</w:t>
      </w:r>
    </w:p>
    <w:p>
      <w:r>
        <w:t xml:space="preserve">(2) Die Gebiete, die der Gebietskulisse nach Absatz 1 angehören, ergeben sich aus den in Anlage 4 angegebenen Nummern der Feldblöcke.</w:t>
      </w:r>
    </w:p>
    <w:p>
      <w:r>
        <w:t xml:space="preserve">(3) Der Zuschnitt der Feldblöcke, die diesen jeweils zugeordneten Feldblocknummern und die Information über die Zugehörigkeit der Flächen des Feldblocks zur Gebietskulisse werden in digitaler Form im Internet im sächsischen Geo-Informationssystem „InVeKoS Online GIS“ dargestellt und sind abrufbar auf der Website des Staatsministeriums für Energie, Klimaschutz, Umwelt und Landwirtschaft unter https://www.landwirtschaft.sachsen.de/ .</w:t>
      </w:r>
    </w:p>
    <w:p>
      <w:r>
        <w:rPr>
          <w:color w:val="555555"/>
          <w:sz w:val="17"/>
        </w:rPr>
        <w:t xml:space="preserve">Zitiervorschlag: § 4 SächsGAPUVO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https://recht.nulegal.eu/gesetze/S%C3%A4chsGAPUVO/4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