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SächsFuttMSachkVO (Sachsen)</w:t>
      </w:r>
    </w:p>
    <w:p>
      <w:r>
        <w:rPr>
          <w:color w:val="555555"/>
          <w:sz w:val="18"/>
        </w:rPr>
        <w:t xml:space="preserve">Sächsische Futtermittelsachkundeverordnung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42 Abs. 1 Satz 3 des Lebensmittel-, Bedarfsgegenstände- und Futtermittelgesetzbuches ( Lebensmittel- und Futtermittelgesetzbuch – LFGB ) in der Fassung der Bekanntmachung vom 3. Juni 2013 (BGBl. I S. 1426), das zuletzt durch Artikel 4 Abs. 20 des Gesetzes vom 7. August 2013 (BGBl. I S. 3154, 3201) geändert worden ist, in Verbindung mit § 5 Satz 1 der Verordnung über die fachlichen Anforderungen an die in der Futtermittelüberwachung tätigen Kontrolleure ( Futtermittelkontrolleur-Verordnung – FuttMKontrV ) vom 28. März 2003 (BGBl. I S. 464), die durch Artikel 2 § 3 Abs. 25 des Gesetzes vom 1. September 2005 (BGBl. I S. 2618, 2657) geändert worden ist, und mit § 3 Abs. 1 Nr. 1 der Verordnung der Sächsischen Staatsregierung zur Übertragung von Verordnungsermächtigungen im Bereich der Land- und Forstwirtschaft sowie des Verbraucherschutzes vom 21. März 2006 (SächsGVBl. S. 76), die zuletzt durch Verordnung vom 14. Juni 2013 (SächsGVBl. S. 470) geändert worden ist,</w:t>
      </w:r>
    </w:p>
    <w:p>
      <w:r>
        <w:t xml:space="preserve">2. § 16 Abs. 1 Satz 2 Nr. 1 des Gesetzes über die Verwaltungsorganisation des Freistaates Sachsen (Sächsisches Verwaltungsorganisationsgesetz – SächsVwOrgG) vom 25. November 2003 (SächsGVBl. S. 899), das zuletzt durch Artikel 1 des Gesetzes vom 27. Januar 2012 (SächsGVBl. S. 130, 131) geändert worden ist.</w:t>
      </w:r>
    </w:p>
    <w:p>
      <w:r>
        <w:rPr>
          <w:color w:val="555555"/>
          <w:sz w:val="17"/>
        </w:rPr>
        <w:t xml:space="preserve">Zitiervorschlag: Eingangsformel SächsFuttMSachkVO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https://recht.nulegal.eu/gesetze/S%C3%A4chsFuttMSachkVO/eingangsformel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