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SächsFuttMSachkVO (Sachsen) — Gesamtnote, Bestehen der Prüfung, Zeugnis</w:t>
      </w:r>
    </w:p>
    <w:p>
      <w:r>
        <w:rPr>
          <w:color w:val="555555"/>
          <w:sz w:val="18"/>
        </w:rPr>
        <w:t xml:space="preserve">Sächsische Futtermittelsachkundeverordnung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Es wird eine Gesamtpunktzahl für die Prüfung gebildet. Darin gehen ein:</w:t>
      </w:r>
    </w:p>
    <w:p>
      <w:r>
        <w:t xml:space="preserve">1. der Mittelwert der Bewertungen der Aufsichtsarbeiten mit 25 Prozent,</w:t>
      </w:r>
    </w:p>
    <w:p>
      <w:r>
        <w:t xml:space="preserve">2. die Bewertung des praktischen Prüfungsteils mit 40 Prozent,</w:t>
      </w:r>
    </w:p>
    <w:p>
      <w:r>
        <w:t xml:space="preserve">3. die Bewertung des mündlichen Prüfungsteils mit 35 Prozent.</w:t>
      </w:r>
    </w:p>
    <w:p>
      <w:r>
        <w:t xml:space="preserve">(2) Aus der Gesamtpunktzahl ergibt sich gemäß § 5 Abs. 2 Satz 2 die Gesamtnote.</w:t>
      </w:r>
    </w:p>
    <w:p>
      <w:r>
        <w:t xml:space="preserve">(3) Die Prüfung hat bestanden, wer mindestens die Gesamtnote „ausreichend“ erreicht hat.</w:t>
      </w:r>
    </w:p>
    <w:p>
      <w:r>
        <w:t xml:space="preserve">(4) Wer die Prüfung bestanden hat, erhält hierüber von der LUA ein Zeugnis, in dem die Gesamtnote und die Gesamtdurchschnittspunktzahl anzugeben sind.</w:t>
      </w:r>
    </w:p>
    <w:p>
      <w:r>
        <w:t xml:space="preserve">(5) Prüflinge, die die Prüfung nicht bestanden haben, erhalten hierüber einen Bescheid.</w:t>
      </w:r>
    </w:p>
    <w:p>
      <w:r>
        <w:rPr>
          <w:color w:val="555555"/>
          <w:sz w:val="17"/>
        </w:rPr>
        <w:t xml:space="preserve">Zitiervorschlag: § 9 SächsFuttMSachkVO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https://recht.nulegal.eu/gesetze/S%C3%A4chsFuttMSachkVO/9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SächsFuttMSachkVO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