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SächsFuttMSachkVO (Sachsen) — Inhalt, Dauer und Gliederung des Lehrgangs</w:t>
      </w:r>
    </w:p>
    <w:p>
      <w:r>
        <w:rPr>
          <w:color w:val="555555"/>
          <w:sz w:val="18"/>
        </w:rPr>
        <w:t xml:space="preserve">Sächsische Futtermittelsachkundeverordnung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Lehrgang dauert, einschließlich der Prüfung, mindestens 6 Monate. Im Rahmen des Lehrgangs soll zusätzlich zur Vermittlung von Kenntnissen und Fertigkeiten auf den in § 3 Abs. 2 FuttMKontrV genannten Gebieten in die Tätigkeiten und Themen eingeführt werden, die in § 1 Abs. 2 FuttMKontrV sowie in Artikel 10 Abs. 2 und Anhang II Kapitel I der Verordnung (EG) Nr. 882/2004 des Europäischen Parlaments und des Rates vom 29. April 2004 über amtliche Kontrollen zur Überprüfung der Einhaltung des Lebensmittel- und Futtermittelrechts sowie der Bestimmungen über Tiergesundheit und Tierschutz (ABl. L 165 vom 30.4.2004, S. 1, L 191 vom 28.5.2004, S. 1, L 204 vom 4.8.2007, S. 29), die zuletzt durch die Verordnung (EU) Nr. 517/2013 (ABl. L 158 vom 10.6.2013, S. 1) geändert worden ist, genannt sind. Der tätigkeitsbezogene theoretische Unterricht soll insgesamt 300 Unterrichtsstunden umfassen.</w:t>
      </w:r>
    </w:p>
    <w:p>
      <w:r>
        <w:t xml:space="preserve">(2) Die LUA legt für jeden Teilnehmer einen Ausbildungsplan fest und entscheidet über eine Verkürzung nach § 3 Abs. 1 Satz 3 FuttMKontrV .</w:t>
      </w:r>
    </w:p>
    <w:p>
      <w:r>
        <w:t xml:space="preserve">(3) Die praktische Unterweisung ist bei der zuständigen Behörde abzuleisten und soll mindestens 14 Wochen dauern. Teile der praktischen Lehrgangsabschnitte können mit Zustimmung der LUA auch bei weiteren Stellen, insbesondere bei</w:t>
      </w:r>
    </w:p>
    <w:p>
      <w:r>
        <w:t xml:space="preserve">1. einer Untersuchungsstelle für amtliche Futter- oder Lebensmittelproben,</w:t>
      </w:r>
    </w:p>
    <w:p>
      <w:r>
        <w:t xml:space="preserve">2. einem Lebensmittelüberwachungs- und Veterinäramt,</w:t>
      </w:r>
    </w:p>
    <w:p>
      <w:r>
        <w:t xml:space="preserve">3. einer für die Durchführung der Gewerbeordnung in der Fassung der Bekanntmachung vom 22. Februar 1999 (BGBl. I S. 202), die zuletzt durch Artikel 2 des Gesetzes vom 6. September 2013 (BGBl. I S. 3556, 3557) geändert worden ist, in der jeweils geltenden Fassung, zuständigen unteren Verwaltungsbehörde,</w:t>
      </w:r>
    </w:p>
    <w:p>
      <w:r>
        <w:t xml:space="preserve">4. einer unteren Abfallbehörde oder</w:t>
      </w:r>
    </w:p>
    <w:p>
      <w:r>
        <w:t xml:space="preserve">5. einer der wissenschaftlichen Futtermittelforschung dienenden Einrichtung</w:t>
      </w:r>
    </w:p>
    <w:p>
      <w:r>
        <w:t xml:space="preserve">abgeleistet werden.</w:t>
      </w:r>
    </w:p>
    <w:p>
      <w:r>
        <w:rPr>
          <w:color w:val="555555"/>
          <w:sz w:val="17"/>
        </w:rPr>
        <w:t xml:space="preserve">Zitiervorschlag: § 3 SächsFuttMSachkVO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https://recht.nulegal.eu/gesetze/S%C3%A4chsFuttMSachkVO/3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