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SächsFuttMSachkVO (Sachsen) — Zulassung zum Lehrgang</w:t>
      </w:r>
    </w:p>
    <w:p>
      <w:r>
        <w:rPr>
          <w:color w:val="555555"/>
          <w:sz w:val="18"/>
        </w:rPr>
        <w:t xml:space="preserve">Sächsische Futtermittelsachkundeverordnung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der LUA kann zum Lehrgang nach § 3 FuttMKontrV zugelassen werden, wer eine der Voraussetzungen nach § 2 Abs. 1 Satz 1 Nr. 1 bis 3 FuttMKontrV erfüllt.</w:t>
      </w:r>
    </w:p>
    <w:p>
      <w:r>
        <w:rPr>
          <w:color w:val="555555"/>
          <w:sz w:val="17"/>
        </w:rPr>
        <w:t xml:space="preserve">Zitiervorschlag: § 2 SächsFuttMSachkVO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https://recht.nulegal.eu/gesetze/S%C3%A4chsFuttMSachkVO/2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