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SächsFuttMSachkVO (Sachsen) — Inkrafttreten und Außerkrafttreten</w:t>
      </w:r>
    </w:p>
    <w:p>
      <w:r>
        <w:rPr>
          <w:color w:val="555555"/>
          <w:sz w:val="18"/>
        </w:rPr>
        <w:t xml:space="preserve">Sächsische Futtermittelsachkundeverordnung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Diese Verordnung tritt am Tage nach ihrer Verkündung in Kraft. Gleichzeitig tritt die Verordnung des Sächsischen Staatsministeriums für Soziales und Verbraucherschutz über den Lehrgang und die Prüfung für die Sachkunde in der Futtermittelkontrolle (Futtermittelsachkunde-Verordnung – SächsFuttMSachkVO) vom 18. April 2006 (SächsGVBl. S. 121), zuletzt geändert durch Artikel 3 der Verordnung vom 16. Februar 2011 (SächsGVBl. S. 61), außer Kraft.</w:t>
      </w:r>
    </w:p>
    <w:p>
      <w:r>
        <w:t xml:space="preserve">Dresden, den 20. Januar 2014</w:t>
      </w:r>
    </w:p>
    <w:p>
      <w:r>
        <w:t xml:space="preserve">Die Staatsministerin für Soziales und Verbraucherschutz</w:t>
      </w:r>
    </w:p>
    <w:p>
      <w:r>
        <w:t xml:space="preserve">Christine Clauß</w:t>
      </w:r>
    </w:p>
    <w:p>
      <w:r>
        <w:rPr>
          <w:color w:val="555555"/>
          <w:sz w:val="17"/>
        </w:rPr>
        <w:t xml:space="preserve">Zitiervorschlag: § 14 SächsFuttMSachkVO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https://recht.nulegal.eu/gesetze/S%C3%A4chsFuttMSachkVO/14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SächsFuttMSachkVO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