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SächsFuttMSachkVO (Sachsen) — Übergangsvorschriften</w:t>
      </w:r>
    </w:p>
    <w:p>
      <w:r>
        <w:rPr>
          <w:color w:val="555555"/>
          <w:sz w:val="18"/>
        </w:rPr>
        <w:t xml:space="preserve">Sächsische Futtermittelsachkundeverordnung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nach der Verordnung des Sächsischen Staatsministeriums für Soziales und Verbraucherschutz über den Lehrgang und die Prüfung für die Sachkunde in der Futtermittelkontrolle (Futtermittelsachkunde-Verordnung – SächsFuttMSachkVO ) vom 18. April 2006 (SächsGVBl. S. 121) in der am 31. März 2011 geltenden Fassung, vorgenommenen Berufungen der Mitglieder und stellvertretenden Mitglieder der Prüfungskommission gelten bis zu ihrem Ablauf fort.</w:t>
      </w:r>
    </w:p>
    <w:p>
      <w:r>
        <w:rPr>
          <w:color w:val="555555"/>
          <w:sz w:val="17"/>
        </w:rPr>
        <w:t xml:space="preserve">Zitiervorschlag: § 13 SächsFuttMSachkVO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https://recht.nulegal.eu/gesetze/S%C3%A4chsFuttMSachkVO/13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