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SächsFrTrSchulG (Sachsen) — Einschränkung eines Grundrechtes</w:t>
      </w:r>
    </w:p>
    <w:p>
      <w:r>
        <w:rPr>
          <w:color w:val="555555"/>
          <w:sz w:val="18"/>
        </w:rPr>
        <w:t xml:space="preserve">Sächsisches Gesetz über Schulen in freier Trägerschaft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Grundrecht auf informationelle Selbstbestimmung nach Artikel 33 der Verfassung des Freistaates Sachsen wird durch § 17 Absatz 2 eingeschränkt.</w:t>
      </w:r>
    </w:p>
    <w:p>
      <w:r>
        <w:rPr>
          <w:color w:val="555555"/>
          <w:sz w:val="17"/>
        </w:rPr>
        <w:t xml:space="preserve">Zitiervorschlag: § 21 SächsFrTrSchulG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https://recht.nulegal.eu/gesetze/S%C3%A4chsFrTrSchulG/21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