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SächsFrühErDurchfG (Sachsen)</w:t>
      </w:r>
    </w:p>
    <w:p>
      <w:r>
        <w:rPr>
          <w:color w:val="555555"/>
          <w:sz w:val="18"/>
        </w:rPr>
        <w:t xml:space="preserve">Sächsisches Früherkennungsdurchführungsgesetz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10. Mai 2006 das folgende Gesetz beschlossen:</w:t>
      </w:r>
    </w:p>
    <w:p>
      <w:r>
        <w:rPr>
          <w:color w:val="555555"/>
          <w:sz w:val="17"/>
        </w:rPr>
        <w:t xml:space="preserve">Zitiervorschlag: Eingangsformel SächsFrühErDurchfG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https://recht.nulegal.eu/gesetze/S%C3%A4chsFr%C3%BChErDurchfG/eingangsformel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