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SächsFischVO (Sachsen)</w:t>
      </w:r>
    </w:p>
    <w:p>
      <w:r>
        <w:rPr>
          <w:color w:val="555555"/>
          <w:sz w:val="18"/>
        </w:rPr>
        <w:t xml:space="preserve">Sächsische Fischereiverordnung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33 Nummer 1 bis 17 und 20 bis 24 sowie des § 35 Absatz 1 Nummer 26 des Sächsischen Fischereigesetzes vom 9. Juli 2007 (SächsGVBl. S. 310), von denen durch Gesetz vom 29. April 2012 (SächsGVBl. S. 254) § 33 Nummer 23 und 24 eingefügt sowie § 35 Absatz 1 Nummer 26 geändert worden ist, verordnet das Staatsministerium für Energie, Klimaschutz, Umwelt und Landwirtschaft:</w:t>
      </w:r>
    </w:p>
    <w:p>
      <w:r>
        <w:rPr>
          <w:color w:val="555555"/>
          <w:sz w:val="17"/>
        </w:rPr>
        <w:t xml:space="preserve">Zitiervorschlag: Eingangsformel SächsFischVO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