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SächsFischVO (Sachsen) — Köderfische</w:t>
      </w:r>
    </w:p>
    <w:p>
      <w:r>
        <w:rPr>
          <w:color w:val="555555"/>
          <w:sz w:val="18"/>
        </w:rPr>
        <w:t xml:space="preserve">Sächsische Fischereiverordnung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Köderfische sind vor dem Anbringen an den Angelhaken waidgerecht zu töten.</w:t>
      </w:r>
    </w:p>
    <w:p>
      <w:r>
        <w:t xml:space="preserve">(2) Zum Fang von Köderfischen darf ein Senknetz mit einer Seitenlänge bis zu 150 Zentimetern verwendet werden. Mit diesem darf vom 1. Februar bis zum 30. April nicht gefischt werden.</w:t>
      </w:r>
    </w:p>
    <w:p>
      <w:r>
        <w:rPr>
          <w:color w:val="555555"/>
          <w:sz w:val="17"/>
        </w:rPr>
        <w:t xml:space="preserve">Zitiervorschlag: § 6 SächsFischVO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https://recht.nulegal.eu/gesetze/S%C3%A4chsFischVO/6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